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3" w:rsidRPr="004648DE" w:rsidRDefault="00902B43" w:rsidP="00902B43">
      <w:pPr>
        <w:jc w:val="both"/>
        <w:rPr>
          <w:rFonts w:cs="Arial"/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8DE">
        <w:rPr>
          <w:rFonts w:cs="Arial"/>
          <w:b/>
        </w:rPr>
        <w:t>Appendix 2: Initial Equalities Impact Assessment</w:t>
      </w:r>
    </w:p>
    <w:p w:rsidR="00902B43" w:rsidRPr="004648DE" w:rsidRDefault="00902B43" w:rsidP="00902B43">
      <w:pPr>
        <w:jc w:val="both"/>
      </w:pPr>
    </w:p>
    <w:p w:rsidR="00902B43" w:rsidRPr="004648DE" w:rsidRDefault="00902B43" w:rsidP="00902B43">
      <w:r>
        <w:rPr>
          <w:noProof/>
          <w:lang w:eastAsia="en-GB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B43" w:rsidRPr="004648DE" w:rsidRDefault="00902B43" w:rsidP="00902B43">
      <w:bookmarkStart w:id="0" w:name="_GoBack"/>
      <w:bookmarkEnd w:id="0"/>
    </w:p>
    <w:p w:rsidR="00902B43" w:rsidRPr="004648DE" w:rsidRDefault="00902B43" w:rsidP="00902B43"/>
    <w:p w:rsidR="00902B43" w:rsidRPr="004648DE" w:rsidRDefault="00902B43" w:rsidP="00902B43"/>
    <w:p w:rsidR="00902B43" w:rsidRPr="004648DE" w:rsidRDefault="00902B43" w:rsidP="00902B43"/>
    <w:p w:rsidR="00902B43" w:rsidRPr="004648DE" w:rsidRDefault="00902B43" w:rsidP="00902B43"/>
    <w:p w:rsidR="00902B43" w:rsidRPr="004648DE" w:rsidRDefault="00902B43" w:rsidP="00902B43">
      <w:pPr>
        <w:ind w:left="-426"/>
        <w:rPr>
          <w:b/>
          <w:szCs w:val="20"/>
        </w:rPr>
      </w:pPr>
      <w:r w:rsidRPr="004648DE">
        <w:rPr>
          <w:szCs w:val="20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7.5pt" o:ole="">
            <v:imagedata r:id="rId8" o:title=""/>
          </v:shape>
          <o:OLEObject Type="Embed" ProgID="Imaging.Document" ShapeID="_x0000_i1025" DrawAspect="Content" ObjectID="_1531315407" r:id="rId9"/>
        </w:object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</w:p>
    <w:p w:rsidR="00902B43" w:rsidRPr="004648DE" w:rsidRDefault="00902B43" w:rsidP="00902B43">
      <w:pPr>
        <w:keepNext/>
        <w:spacing w:before="240" w:after="60"/>
        <w:outlineLvl w:val="0"/>
        <w:rPr>
          <w:b/>
          <w:kern w:val="32"/>
          <w:szCs w:val="20"/>
        </w:rPr>
      </w:pPr>
      <w:r w:rsidRPr="004648DE">
        <w:rPr>
          <w:b/>
          <w:kern w:val="32"/>
          <w:szCs w:val="20"/>
        </w:rPr>
        <w:t>Form to be used for the Full Equalities Impact Assessment</w:t>
      </w:r>
    </w:p>
    <w:p w:rsidR="00902B43" w:rsidRPr="004648DE" w:rsidRDefault="00902B43" w:rsidP="00902B43">
      <w:pPr>
        <w:rPr>
          <w:rFonts w:cs="Arial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2"/>
        <w:gridCol w:w="1559"/>
        <w:gridCol w:w="1829"/>
        <w:gridCol w:w="3558"/>
        <w:gridCol w:w="5528"/>
      </w:tblGrid>
      <w:tr w:rsidR="00902B43" w:rsidRPr="004648DE" w:rsidTr="00AC1516">
        <w:tc>
          <w:tcPr>
            <w:tcW w:w="1908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Service Area:</w:t>
            </w: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2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CS</w:t>
            </w:r>
          </w:p>
        </w:tc>
        <w:tc>
          <w:tcPr>
            <w:tcW w:w="1559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Section: CS</w:t>
            </w: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829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Date of Initial assessment:</w:t>
            </w:r>
          </w:p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58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 xml:space="preserve">Key Person responsible for assessment: </w:t>
            </w:r>
          </w:p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  <w:r w:rsidRPr="004648DE">
              <w:rPr>
                <w:rFonts w:cs="Arial"/>
                <w:bCs/>
                <w:szCs w:val="20"/>
              </w:rPr>
              <w:t>Ian Brooke</w:t>
            </w: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Date assessment commenced:</w:t>
            </w:r>
          </w:p>
          <w:p w:rsidR="00902B43" w:rsidRPr="00DA6706" w:rsidRDefault="00902B43" w:rsidP="00AC1516">
            <w:pPr>
              <w:ind w:left="360"/>
              <w:rPr>
                <w:rFonts w:cs="Arial"/>
                <w:bCs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3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Name of Policy to be assessed: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EF7202" w:rsidRDefault="00EF7202" w:rsidP="00EF7202"/>
          <w:p w:rsidR="00902B43" w:rsidRPr="004648DE" w:rsidRDefault="00EF7202" w:rsidP="00EF7202">
            <w:pPr>
              <w:rPr>
                <w:rFonts w:cs="Arial"/>
                <w:szCs w:val="20"/>
              </w:rPr>
            </w:pPr>
            <w:r>
              <w:t>T</w:t>
            </w:r>
            <w:r>
              <w:t>o invest to improve tennis provision at Florence Park and the car park at Court Place Farm</w:t>
            </w:r>
            <w:r>
              <w:t>.</w:t>
            </w:r>
          </w:p>
        </w:tc>
      </w:tr>
    </w:tbl>
    <w:p w:rsidR="00902B43" w:rsidRPr="004648DE" w:rsidRDefault="00902B43" w:rsidP="00902B4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29"/>
        <w:gridCol w:w="1080"/>
        <w:gridCol w:w="2435"/>
        <w:gridCol w:w="745"/>
        <w:gridCol w:w="2799"/>
        <w:gridCol w:w="2409"/>
        <w:gridCol w:w="1418"/>
      </w:tblGrid>
      <w:tr w:rsidR="00902B43" w:rsidRPr="004648DE" w:rsidTr="00AC1516">
        <w:trPr>
          <w:cantSplit/>
          <w:trHeight w:val="575"/>
        </w:trPr>
        <w:tc>
          <w:tcPr>
            <w:tcW w:w="4219" w:type="dxa"/>
            <w:gridSpan w:val="2"/>
            <w:vMerge w:val="restart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 xml:space="preserve">1. In what area are there concerns </w:t>
            </w:r>
            <w:r w:rsidRPr="004648DE">
              <w:rPr>
                <w:rFonts w:cs="Arial"/>
                <w:b/>
                <w:bCs/>
                <w:szCs w:val="20"/>
              </w:rPr>
              <w:lastRenderedPageBreak/>
              <w:t>that the policy could have a differential impact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lastRenderedPageBreak/>
              <w:t xml:space="preserve">Race 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Disability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 xml:space="preserve">Age 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</w:tr>
      <w:tr w:rsidR="00902B43" w:rsidRPr="004648DE" w:rsidTr="00AC1516">
        <w:trPr>
          <w:cantSplit/>
        </w:trPr>
        <w:tc>
          <w:tcPr>
            <w:tcW w:w="4219" w:type="dxa"/>
            <w:gridSpan w:val="2"/>
            <w:vMerge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Gender</w:t>
            </w:r>
          </w:p>
          <w:p w:rsidR="00902B43" w:rsidRDefault="00902B43" w:rsidP="00AC1516">
            <w:pPr>
              <w:jc w:val="center"/>
              <w:rPr>
                <w:rFonts w:cs="Arial"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  <w:p w:rsidR="00720921" w:rsidRPr="004648DE" w:rsidRDefault="00720921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Religion or  Belief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Sexual Orientation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</w:tr>
      <w:tr w:rsidR="00902B43" w:rsidRPr="004648DE" w:rsidTr="00AC1516">
        <w:trPr>
          <w:cantSplit/>
        </w:trPr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lastRenderedPageBreak/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Safeguarding/ Welfare of Children and vulnerable adults</w:t>
            </w:r>
          </w:p>
          <w:p w:rsidR="00902B43" w:rsidRDefault="00902B43" w:rsidP="00AC1516">
            <w:pPr>
              <w:jc w:val="center"/>
              <w:rPr>
                <w:rFonts w:cs="Arial"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  <w:p w:rsidR="00720921" w:rsidRPr="004648DE" w:rsidRDefault="00720921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Mental Wellbeing/ Community Resilience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Marriage &amp; Civil Partnership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2. Background: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zCs w:val="20"/>
              </w:rPr>
              <w:t>Give the background information to the policy and the perceived problems with the policy which are the reason for the Impact Assessment.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720921" w:rsidRDefault="00720921" w:rsidP="00EF7202">
            <w:pPr>
              <w:jc w:val="both"/>
              <w:rPr>
                <w:rFonts w:cs="Arial"/>
              </w:rPr>
            </w:pPr>
          </w:p>
          <w:p w:rsidR="00BB6041" w:rsidRDefault="00BB6041" w:rsidP="00EF720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This impact assessment has been undertaken to consider that part of this money used to improve the tennis provision at Florence Park and improve the car park</w:t>
            </w:r>
            <w:r>
              <w:rPr>
                <w:rFonts w:cs="Arial"/>
              </w:rPr>
              <w:t xml:space="preserve"> at Court Place Park.</w:t>
            </w:r>
          </w:p>
          <w:p w:rsidR="00BB6041" w:rsidRDefault="00BB6041" w:rsidP="00EF7202">
            <w:pPr>
              <w:jc w:val="both"/>
              <w:rPr>
                <w:rFonts w:cs="Arial"/>
              </w:rPr>
            </w:pPr>
          </w:p>
          <w:p w:rsidR="00EF7202" w:rsidRDefault="00EF7202" w:rsidP="00EF7202">
            <w:pPr>
              <w:jc w:val="both"/>
              <w:rPr>
                <w:rFonts w:cs="Arial"/>
              </w:rPr>
            </w:pPr>
            <w:r w:rsidRPr="00090EC2">
              <w:rPr>
                <w:rFonts w:cs="Arial"/>
              </w:rPr>
              <w:t xml:space="preserve">Within the </w:t>
            </w:r>
            <w:r>
              <w:rPr>
                <w:rFonts w:cs="Arial"/>
              </w:rPr>
              <w:t>20</w:t>
            </w:r>
            <w:r w:rsidRPr="00090EC2">
              <w:rPr>
                <w:rFonts w:cs="Arial"/>
              </w:rPr>
              <w:t>16/17 budget £500,000 has been identified to invest in</w:t>
            </w:r>
            <w:r>
              <w:rPr>
                <w:rFonts w:cs="Arial"/>
              </w:rPr>
              <w:t>to</w:t>
            </w:r>
            <w:r w:rsidRPr="00090EC2">
              <w:rPr>
                <w:rFonts w:cs="Arial"/>
              </w:rPr>
              <w:t xml:space="preserve"> the city</w:t>
            </w:r>
            <w:r>
              <w:rPr>
                <w:rFonts w:cs="Arial"/>
              </w:rPr>
              <w:t>’s leisure provision; the intent</w:t>
            </w:r>
            <w:r w:rsidRPr="00090EC2">
              <w:rPr>
                <w:rFonts w:cs="Arial"/>
              </w:rPr>
              <w:t>ion is that this money he</w:t>
            </w:r>
            <w:r>
              <w:rPr>
                <w:rFonts w:cs="Arial"/>
              </w:rPr>
              <w:t xml:space="preserve">lps secure match funding and enables further </w:t>
            </w:r>
            <w:r w:rsidRPr="00090EC2">
              <w:rPr>
                <w:rFonts w:cs="Arial"/>
              </w:rPr>
              <w:t>revenue stream</w:t>
            </w:r>
            <w:r>
              <w:rPr>
                <w:rFonts w:cs="Arial"/>
              </w:rPr>
              <w:t>s</w:t>
            </w:r>
            <w:r w:rsidRPr="00090EC2">
              <w:rPr>
                <w:rFonts w:cs="Arial"/>
              </w:rPr>
              <w:t xml:space="preserve"> to be generated.</w:t>
            </w:r>
          </w:p>
          <w:p w:rsidR="00EF7202" w:rsidRDefault="00EF7202" w:rsidP="00DA67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13B45" w:rsidRDefault="00113B45" w:rsidP="00113B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report is linked to the </w:t>
            </w:r>
            <w:r w:rsidR="00EF7202">
              <w:rPr>
                <w:rFonts w:cs="Arial"/>
                <w:color w:val="000000"/>
              </w:rPr>
              <w:t>Leisure and Wellbeing</w:t>
            </w:r>
            <w:r>
              <w:rPr>
                <w:rFonts w:cs="Arial"/>
                <w:color w:val="000000"/>
              </w:rPr>
              <w:t xml:space="preserve"> Strategy </w:t>
            </w:r>
            <w:r w:rsidR="00E46688">
              <w:rPr>
                <w:rFonts w:eastAsia="Calibri" w:cs="Arial"/>
              </w:rPr>
              <w:t>(2015</w:t>
            </w:r>
            <w:r w:rsidR="00E46688">
              <w:rPr>
                <w:rFonts w:eastAsia="Calibri" w:cs="Arial"/>
              </w:rPr>
              <w:t xml:space="preserve">-2020), </w:t>
            </w:r>
            <w:r>
              <w:rPr>
                <w:rFonts w:cs="Arial"/>
                <w:color w:val="000000"/>
              </w:rPr>
              <w:t xml:space="preserve">which details our approach to </w:t>
            </w:r>
            <w:r w:rsidR="00084B39">
              <w:rPr>
                <w:rFonts w:cs="Arial"/>
                <w:color w:val="000000"/>
              </w:rPr>
              <w:t>t</w:t>
            </w:r>
            <w:r w:rsidR="00EF7202">
              <w:rPr>
                <w:rFonts w:cs="Arial"/>
                <w:color w:val="000000"/>
              </w:rPr>
              <w:t xml:space="preserve">ennis as </w:t>
            </w:r>
            <w:r w:rsidR="00EF7202" w:rsidRPr="00084B39">
              <w:rPr>
                <w:rFonts w:cs="Arial"/>
                <w:i/>
                <w:color w:val="000000"/>
              </w:rPr>
              <w:t>Focus Sport</w:t>
            </w:r>
            <w:r w:rsidR="00EF7202">
              <w:rPr>
                <w:rFonts w:cs="Arial"/>
                <w:color w:val="000000"/>
              </w:rPr>
              <w:t xml:space="preserve"> where we can have most impact/ or where Oxford is a priority areas for the sport’s governing body; alongside provision of high quality outdoor sports facilities.</w:t>
            </w:r>
          </w:p>
          <w:p w:rsidR="006929D0" w:rsidRDefault="006929D0" w:rsidP="00113B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6929D0" w:rsidRPr="004C02A3" w:rsidRDefault="006929D0" w:rsidP="006929D0">
            <w:pPr>
              <w:jc w:val="both"/>
              <w:rPr>
                <w:rFonts w:cs="Arial"/>
                <w:lang w:eastAsia="en-GB"/>
              </w:rPr>
            </w:pPr>
            <w:r>
              <w:rPr>
                <w:rFonts w:cs="Arial"/>
                <w:color w:val="000000"/>
              </w:rPr>
              <w:t xml:space="preserve">The </w:t>
            </w:r>
            <w:r>
              <w:rPr>
                <w:rFonts w:cs="Arial"/>
                <w:color w:val="000000"/>
              </w:rPr>
              <w:t xml:space="preserve">Leisure and Wellbeing Strategy </w:t>
            </w:r>
            <w:r w:rsidRPr="004C02A3">
              <w:rPr>
                <w:rFonts w:cs="Arial"/>
                <w:lang w:eastAsia="en-GB"/>
              </w:rPr>
              <w:t xml:space="preserve">is </w:t>
            </w:r>
            <w:r>
              <w:rPr>
                <w:rFonts w:cs="Arial"/>
                <w:lang w:eastAsia="en-GB"/>
              </w:rPr>
              <w:t>supported by the</w:t>
            </w:r>
            <w:r w:rsidRPr="004C02A3">
              <w:rPr>
                <w:rFonts w:cs="Arial"/>
                <w:lang w:eastAsia="en-GB"/>
              </w:rPr>
              <w:t xml:space="preserve"> Green Space</w:t>
            </w:r>
            <w:r>
              <w:rPr>
                <w:rFonts w:cs="Arial"/>
                <w:lang w:eastAsia="en-GB"/>
              </w:rPr>
              <w:t>s</w:t>
            </w:r>
            <w:r w:rsidRPr="004C02A3">
              <w:rPr>
                <w:rFonts w:cs="Arial"/>
                <w:lang w:eastAsia="en-GB"/>
              </w:rPr>
              <w:t xml:space="preserve"> Strategy, Playing Pitches Strategy and the Youth Ambition Strategy.</w:t>
            </w:r>
          </w:p>
          <w:p w:rsidR="006929D0" w:rsidRDefault="006929D0" w:rsidP="00113B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BB6041" w:rsidRDefault="00113B45" w:rsidP="00113B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 groups will be disadvantaged by the </w:t>
            </w:r>
            <w:r w:rsidR="00720921">
              <w:rPr>
                <w:rFonts w:cs="Arial"/>
                <w:color w:val="000000"/>
              </w:rPr>
              <w:t>invested.</w:t>
            </w:r>
          </w:p>
          <w:p w:rsidR="00E46688" w:rsidRPr="004648DE" w:rsidRDefault="00E46688" w:rsidP="00BB604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napToGrid w:val="0"/>
                <w:color w:val="000000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napToGrid w:val="0"/>
                <w:color w:val="000000"/>
                <w:szCs w:val="20"/>
              </w:rPr>
            </w:pPr>
            <w:r w:rsidRPr="004648DE">
              <w:rPr>
                <w:rFonts w:cs="Arial"/>
                <w:b/>
                <w:snapToGrid w:val="0"/>
                <w:color w:val="000000"/>
                <w:szCs w:val="20"/>
              </w:rPr>
              <w:t>3. Methodology and Sources of Data</w:t>
            </w:r>
            <w:r w:rsidRPr="004648DE">
              <w:rPr>
                <w:rFonts w:cs="Arial"/>
                <w:snapToGrid w:val="0"/>
                <w:color w:val="000000"/>
                <w:szCs w:val="20"/>
              </w:rPr>
              <w:t>:</w:t>
            </w:r>
          </w:p>
          <w:p w:rsidR="00902B43" w:rsidRPr="004648DE" w:rsidRDefault="00902B43" w:rsidP="00AC1516">
            <w:pPr>
              <w:rPr>
                <w:rFonts w:cs="Arial"/>
                <w:snapToGrid w:val="0"/>
                <w:color w:val="000000"/>
                <w:szCs w:val="20"/>
              </w:rPr>
            </w:pPr>
          </w:p>
          <w:p w:rsidR="00902B43" w:rsidRPr="004648DE" w:rsidRDefault="00902B43" w:rsidP="00720921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napToGrid w:val="0"/>
                <w:color w:val="000000"/>
                <w:szCs w:val="20"/>
              </w:rPr>
              <w:lastRenderedPageBreak/>
              <w:t>The methods used to collect data and what sources of data</w:t>
            </w:r>
          </w:p>
        </w:tc>
        <w:tc>
          <w:tcPr>
            <w:tcW w:w="10915" w:type="dxa"/>
            <w:gridSpan w:val="7"/>
          </w:tcPr>
          <w:p w:rsidR="00DA6706" w:rsidRDefault="00DA6706" w:rsidP="00AC1516">
            <w:pPr>
              <w:rPr>
                <w:rFonts w:eastAsia="Calibri" w:cs="Arial"/>
              </w:rPr>
            </w:pPr>
          </w:p>
          <w:p w:rsidR="00BB6041" w:rsidRDefault="00DA6706" w:rsidP="00720921">
            <w:pPr>
              <w:rPr>
                <w:rFonts w:cs="Arial"/>
              </w:rPr>
            </w:pPr>
            <w:r>
              <w:rPr>
                <w:rFonts w:eastAsia="Calibri" w:cs="Arial"/>
              </w:rPr>
              <w:t xml:space="preserve">The </w:t>
            </w:r>
            <w:r w:rsidR="00E46688">
              <w:rPr>
                <w:rFonts w:eastAsia="Calibri" w:cs="Arial"/>
              </w:rPr>
              <w:t>investment</w:t>
            </w:r>
            <w:r w:rsidR="00113B45">
              <w:rPr>
                <w:rFonts w:eastAsia="Calibri" w:cs="Arial"/>
              </w:rPr>
              <w:t xml:space="preserve"> is linked to </w:t>
            </w:r>
            <w:r>
              <w:rPr>
                <w:rFonts w:eastAsia="Calibri" w:cs="Arial"/>
              </w:rPr>
              <w:t xml:space="preserve">the </w:t>
            </w:r>
            <w:r w:rsidR="00E46688">
              <w:rPr>
                <w:rFonts w:cs="Arial"/>
                <w:color w:val="000000"/>
              </w:rPr>
              <w:t xml:space="preserve">Leisure and Wellbeing </w:t>
            </w:r>
            <w:r w:rsidR="00E46688">
              <w:rPr>
                <w:rFonts w:cs="Arial"/>
                <w:color w:val="000000"/>
              </w:rPr>
              <w:t>Strategy</w:t>
            </w:r>
            <w:r>
              <w:rPr>
                <w:rFonts w:eastAsia="Calibri" w:cs="Arial"/>
              </w:rPr>
              <w:t xml:space="preserve"> (201</w:t>
            </w:r>
            <w:r w:rsidR="00E46688">
              <w:rPr>
                <w:rFonts w:eastAsia="Calibri" w:cs="Arial"/>
              </w:rPr>
              <w:t>5</w:t>
            </w:r>
            <w:r>
              <w:rPr>
                <w:rFonts w:eastAsia="Calibri" w:cs="Arial"/>
              </w:rPr>
              <w:t xml:space="preserve">-2020). The strategy was developed using </w:t>
            </w:r>
            <w:r w:rsidR="00E46688">
              <w:rPr>
                <w:rFonts w:cs="Arial"/>
              </w:rPr>
              <w:t>a</w:t>
            </w:r>
            <w:r w:rsidR="00E46688" w:rsidRPr="0071682D">
              <w:rPr>
                <w:rFonts w:cs="Arial"/>
              </w:rPr>
              <w:t xml:space="preserve">n extensive needs analysis </w:t>
            </w:r>
            <w:r w:rsidR="00E46688">
              <w:rPr>
                <w:rFonts w:cs="Arial"/>
              </w:rPr>
              <w:t xml:space="preserve">and demographic research confirmed our target groups. </w:t>
            </w:r>
          </w:p>
          <w:p w:rsidR="00BB6041" w:rsidRDefault="00BB6041" w:rsidP="00720921">
            <w:pPr>
              <w:rPr>
                <w:rFonts w:cs="Arial"/>
              </w:rPr>
            </w:pPr>
          </w:p>
          <w:p w:rsidR="00E46688" w:rsidRDefault="00E46688" w:rsidP="00720921">
            <w:pPr>
              <w:rPr>
                <w:rFonts w:cs="Arial"/>
              </w:rPr>
            </w:pPr>
            <w:r>
              <w:rPr>
                <w:rFonts w:cs="Arial"/>
              </w:rPr>
              <w:t>The strategy demonstrates improved understanding of our communities, barriers to under-represented groups and how we will better target our resources into creating a world-class leisure offer for everyone.</w:t>
            </w:r>
          </w:p>
          <w:p w:rsidR="006929D0" w:rsidRPr="004648DE" w:rsidRDefault="006929D0" w:rsidP="00720921">
            <w:pPr>
              <w:rPr>
                <w:rFonts w:cs="Arial"/>
                <w:b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lastRenderedPageBreak/>
              <w:t>4. Consultation</w:t>
            </w:r>
          </w:p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szCs w:val="20"/>
              </w:rPr>
            </w:pPr>
            <w:r w:rsidRPr="004648DE">
              <w:rPr>
                <w:szCs w:val="20"/>
              </w:rPr>
              <w:t xml:space="preserve">This section should outline all the consultation that has taken place on the EIA. It should include the following. </w:t>
            </w:r>
          </w:p>
          <w:p w:rsidR="00902B43" w:rsidRPr="004648DE" w:rsidRDefault="00902B43" w:rsidP="00AC1516">
            <w:pPr>
              <w:ind w:left="720" w:hanging="720"/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Why you carried out the consultation.</w:t>
            </w:r>
          </w:p>
          <w:p w:rsidR="00902B43" w:rsidRPr="004648DE" w:rsidRDefault="00902B43" w:rsidP="00AC1516">
            <w:pPr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 xml:space="preserve">Details about how you went about it. </w:t>
            </w:r>
          </w:p>
          <w:p w:rsidR="00902B43" w:rsidRPr="004648DE" w:rsidRDefault="00902B43" w:rsidP="00AC1516">
            <w:pPr>
              <w:ind w:left="720" w:hanging="720"/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A summary of the replies you received from people you consulted.</w:t>
            </w:r>
          </w:p>
          <w:p w:rsidR="00902B43" w:rsidRPr="004648DE" w:rsidRDefault="00902B43" w:rsidP="00AC1516">
            <w:pPr>
              <w:ind w:left="720" w:hanging="720"/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An assessment of your proposed policy (or policy options) in the light of the responses you received.</w:t>
            </w:r>
          </w:p>
          <w:p w:rsidR="00902B43" w:rsidRPr="004648DE" w:rsidRDefault="00902B43" w:rsidP="00AC1516">
            <w:pPr>
              <w:ind w:left="720" w:hanging="720"/>
              <w:rPr>
                <w:rFonts w:cs="Arial"/>
                <w:bCs/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A statement of what you plan to do next</w:t>
            </w:r>
          </w:p>
        </w:tc>
        <w:tc>
          <w:tcPr>
            <w:tcW w:w="10915" w:type="dxa"/>
            <w:gridSpan w:val="7"/>
          </w:tcPr>
          <w:p w:rsidR="00902B43" w:rsidRDefault="00902B43" w:rsidP="00AC1516">
            <w:pPr>
              <w:ind w:left="360"/>
              <w:jc w:val="both"/>
              <w:rPr>
                <w:rFonts w:cs="Arial"/>
                <w:b/>
              </w:rPr>
            </w:pPr>
            <w:r w:rsidRPr="004648DE">
              <w:rPr>
                <w:rFonts w:cs="Arial"/>
                <w:b/>
              </w:rPr>
              <w:t>Plan for Public Involvement</w:t>
            </w:r>
          </w:p>
          <w:p w:rsidR="00E46688" w:rsidRDefault="00E46688" w:rsidP="00AC1516">
            <w:pPr>
              <w:ind w:left="360"/>
              <w:jc w:val="both"/>
              <w:rPr>
                <w:rFonts w:cs="Arial"/>
                <w:b/>
              </w:rPr>
            </w:pPr>
          </w:p>
          <w:p w:rsidR="00E46688" w:rsidRPr="0071682D" w:rsidRDefault="00084B39" w:rsidP="00E46688">
            <w:pPr>
              <w:rPr>
                <w:rFonts w:cs="Arial"/>
              </w:rPr>
            </w:pPr>
            <w:r>
              <w:rPr>
                <w:rFonts w:cs="Arial"/>
              </w:rPr>
              <w:t>The S</w:t>
            </w:r>
            <w:r w:rsidR="00E46688" w:rsidRPr="0071682D">
              <w:rPr>
                <w:rFonts w:cs="Arial"/>
              </w:rPr>
              <w:t xml:space="preserve">trategy’s project scope </w:t>
            </w:r>
            <w:r w:rsidR="00E46688">
              <w:rPr>
                <w:rFonts w:cs="Arial"/>
              </w:rPr>
              <w:t>was</w:t>
            </w:r>
            <w:r w:rsidR="00E46688" w:rsidRPr="0071682D">
              <w:rPr>
                <w:rFonts w:cs="Arial"/>
              </w:rPr>
              <w:t xml:space="preserve"> developed with a cross party group of councillors. The needs data </w:t>
            </w:r>
            <w:r w:rsidR="00E46688">
              <w:rPr>
                <w:rFonts w:cs="Arial"/>
              </w:rPr>
              <w:t>was</w:t>
            </w:r>
            <w:r w:rsidR="00E46688" w:rsidRPr="0071682D">
              <w:rPr>
                <w:rFonts w:cs="Arial"/>
              </w:rPr>
              <w:t xml:space="preserve"> developed and presented to the same group, displayed in each of the councillor’s group rooms with an accompanying email sent to all </w:t>
            </w:r>
            <w:r w:rsidR="00E46688">
              <w:rPr>
                <w:rFonts w:cs="Arial"/>
              </w:rPr>
              <w:t>Councillors</w:t>
            </w:r>
            <w:r w:rsidR="00E46688" w:rsidRPr="0071682D">
              <w:rPr>
                <w:rFonts w:cs="Arial"/>
              </w:rPr>
              <w:t xml:space="preserve"> and presented to the Leisure Partnership Board.</w:t>
            </w:r>
          </w:p>
          <w:p w:rsidR="00E46688" w:rsidRPr="0071682D" w:rsidRDefault="00E46688" w:rsidP="00E46688">
            <w:pPr>
              <w:rPr>
                <w:rFonts w:cs="Arial"/>
              </w:rPr>
            </w:pPr>
          </w:p>
          <w:p w:rsidR="00E46688" w:rsidRPr="0071682D" w:rsidRDefault="00E46688" w:rsidP="00E46688">
            <w:pPr>
              <w:rPr>
                <w:rFonts w:cs="Arial"/>
              </w:rPr>
            </w:pPr>
            <w:r w:rsidRPr="0071682D">
              <w:rPr>
                <w:rFonts w:cs="Arial"/>
              </w:rPr>
              <w:t xml:space="preserve">Consultation </w:t>
            </w:r>
            <w:r>
              <w:rPr>
                <w:rFonts w:cs="Arial"/>
              </w:rPr>
              <w:t>was</w:t>
            </w:r>
            <w:r w:rsidRPr="0071682D">
              <w:rPr>
                <w:rFonts w:cs="Arial"/>
              </w:rPr>
              <w:t xml:space="preserve"> city wide through a representative sample of the whole community</w:t>
            </w:r>
            <w:r>
              <w:rPr>
                <w:rFonts w:cs="Arial"/>
              </w:rPr>
              <w:t xml:space="preserve"> and</w:t>
            </w:r>
            <w:r w:rsidRPr="0071682D">
              <w:rPr>
                <w:rFonts w:cs="Arial"/>
              </w:rPr>
              <w:t xml:space="preserve"> with focus groups to ensure that we obtained feedback from a broad range of people.</w:t>
            </w:r>
          </w:p>
          <w:p w:rsidR="00E46688" w:rsidRPr="0071682D" w:rsidRDefault="00E46688" w:rsidP="00E46688">
            <w:pPr>
              <w:rPr>
                <w:rFonts w:cs="Arial"/>
                <w:szCs w:val="20"/>
              </w:rPr>
            </w:pPr>
          </w:p>
          <w:p w:rsidR="00E46688" w:rsidRPr="0071682D" w:rsidRDefault="00E46688" w:rsidP="00E46688">
            <w:pPr>
              <w:tabs>
                <w:tab w:val="left" w:pos="1590"/>
              </w:tabs>
              <w:rPr>
                <w:rFonts w:eastAsia="Wi&#10;i" w:cs="Arial"/>
              </w:rPr>
            </w:pPr>
            <w:r w:rsidRPr="0071682D">
              <w:rPr>
                <w:rFonts w:eastAsia="Wi&#10;i" w:cs="Arial"/>
              </w:rPr>
              <w:t xml:space="preserve">A summary of the strategy will be developed with support from the services Equality &amp; Diversity Service </w:t>
            </w:r>
            <w:r>
              <w:rPr>
                <w:rFonts w:eastAsia="Wi&#10;i" w:cs="Arial"/>
              </w:rPr>
              <w:t>Improvement Group.</w:t>
            </w:r>
          </w:p>
          <w:p w:rsidR="00E46688" w:rsidRPr="0071682D" w:rsidRDefault="00E46688" w:rsidP="00E46688">
            <w:pPr>
              <w:tabs>
                <w:tab w:val="left" w:pos="1590"/>
              </w:tabs>
              <w:rPr>
                <w:rFonts w:eastAsia="Wi&#10;i" w:cs="Arial"/>
              </w:rPr>
            </w:pPr>
          </w:p>
          <w:p w:rsidR="00E46688" w:rsidRDefault="00E46688" w:rsidP="00E46688">
            <w:pPr>
              <w:jc w:val="both"/>
              <w:rPr>
                <w:rFonts w:cs="Arial"/>
              </w:rPr>
            </w:pPr>
            <w:r w:rsidRPr="0071682D">
              <w:rPr>
                <w:rFonts w:cs="Arial"/>
              </w:rPr>
              <w:t xml:space="preserve">The strategy was also promoted through </w:t>
            </w:r>
            <w:r>
              <w:rPr>
                <w:rFonts w:cs="Arial"/>
              </w:rPr>
              <w:t>the following groups and venues:</w:t>
            </w:r>
          </w:p>
          <w:p w:rsidR="00E46688" w:rsidRPr="0071682D" w:rsidRDefault="00E46688" w:rsidP="00E46688">
            <w:pPr>
              <w:jc w:val="both"/>
              <w:rPr>
                <w:rFonts w:cs="Arial"/>
              </w:rPr>
            </w:pP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Sports Clubs and Teams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National Governing Bodies of Sport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Sport England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Friends / Voluntary Groups / Neighbourhood Action Groups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Oxfordshire County Council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Parish Councils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 xml:space="preserve">Education Sector: Primary and Secondary Schools; Oxford   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University and Colleges; Language Schools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Health Sector: NHS Oxfordshire.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Community Centres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tabs>
                <w:tab w:val="num" w:pos="1134"/>
              </w:tabs>
              <w:jc w:val="both"/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Other City Council departments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lastRenderedPageBreak/>
              <w:t xml:space="preserve">Oxfordshire Sports Partnership 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 xml:space="preserve">A press release was used to promote the start of the consultation 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Leisure providers</w:t>
            </w:r>
          </w:p>
          <w:p w:rsidR="00E46688" w:rsidRPr="00E46688" w:rsidRDefault="00E46688" w:rsidP="00E4668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E46688">
              <w:rPr>
                <w:rFonts w:ascii="Arial" w:hAnsi="Arial" w:cs="Arial"/>
              </w:rPr>
              <w:t>Leisure Partnership Board</w:t>
            </w:r>
          </w:p>
          <w:p w:rsidR="00720921" w:rsidRDefault="00720921" w:rsidP="00E46688">
            <w:pPr>
              <w:jc w:val="both"/>
              <w:rPr>
                <w:rFonts w:cs="Arial"/>
              </w:rPr>
            </w:pPr>
          </w:p>
          <w:p w:rsidR="00E46688" w:rsidRDefault="00E46688" w:rsidP="00E46688">
            <w:pPr>
              <w:jc w:val="both"/>
              <w:rPr>
                <w:rFonts w:cs="Arial"/>
              </w:rPr>
            </w:pPr>
            <w:r w:rsidRPr="0071682D">
              <w:rPr>
                <w:rFonts w:cs="Arial"/>
              </w:rPr>
              <w:t>Throughout the consultation period the draft strategy was available on the Council website and available for comment through the on-line consultation page</w:t>
            </w:r>
            <w:r>
              <w:rPr>
                <w:rFonts w:cs="Arial"/>
              </w:rPr>
              <w:t>.</w:t>
            </w:r>
          </w:p>
          <w:p w:rsidR="00E46688" w:rsidRDefault="00E46688" w:rsidP="00E46688">
            <w:pPr>
              <w:jc w:val="both"/>
              <w:rPr>
                <w:rFonts w:cs="Arial"/>
              </w:rPr>
            </w:pPr>
          </w:p>
          <w:p w:rsidR="00E46688" w:rsidRDefault="00E46688" w:rsidP="00E46688">
            <w:pPr>
              <w:tabs>
                <w:tab w:val="left" w:pos="1590"/>
              </w:tabs>
              <w:rPr>
                <w:rFonts w:cs="Arial"/>
              </w:rPr>
            </w:pPr>
            <w:r w:rsidRPr="0071682D">
              <w:rPr>
                <w:rFonts w:cs="Arial"/>
              </w:rPr>
              <w:t xml:space="preserve">No surveys </w:t>
            </w:r>
            <w:r>
              <w:rPr>
                <w:rFonts w:cs="Arial"/>
              </w:rPr>
              <w:t>wer</w:t>
            </w:r>
            <w:r w:rsidRPr="0071682D">
              <w:rPr>
                <w:rFonts w:cs="Arial"/>
              </w:rPr>
              <w:t>e planned as the needs analysis data provides a thorough evidence base.</w:t>
            </w:r>
          </w:p>
          <w:p w:rsidR="006929D0" w:rsidRDefault="006929D0" w:rsidP="00E46688">
            <w:pPr>
              <w:tabs>
                <w:tab w:val="left" w:pos="1590"/>
              </w:tabs>
              <w:rPr>
                <w:rFonts w:cs="Arial"/>
              </w:rPr>
            </w:pPr>
          </w:p>
          <w:p w:rsidR="006929D0" w:rsidRPr="0071682D" w:rsidRDefault="006929D0" w:rsidP="006929D0">
            <w:pPr>
              <w:jc w:val="both"/>
              <w:rPr>
                <w:rFonts w:cs="Arial"/>
              </w:rPr>
            </w:pPr>
            <w:r w:rsidRPr="0071682D">
              <w:rPr>
                <w:rFonts w:cs="TTB344o00"/>
                <w:lang w:eastAsia="en-GB"/>
              </w:rPr>
              <w:t xml:space="preserve">The consultation </w:t>
            </w:r>
            <w:r>
              <w:rPr>
                <w:rFonts w:cs="TTB344o00"/>
                <w:lang w:eastAsia="en-GB"/>
              </w:rPr>
              <w:t>showed</w:t>
            </w:r>
            <w:r w:rsidRPr="0071682D">
              <w:rPr>
                <w:rFonts w:cs="TTB344o00"/>
                <w:lang w:eastAsia="en-GB"/>
              </w:rPr>
              <w:t xml:space="preserve"> strong support for </w:t>
            </w:r>
            <w:r>
              <w:rPr>
                <w:rFonts w:cs="TTB344o00"/>
                <w:lang w:eastAsia="en-GB"/>
              </w:rPr>
              <w:t>all aspects of strategy.</w:t>
            </w:r>
          </w:p>
          <w:p w:rsidR="00DA6706" w:rsidRPr="004648DE" w:rsidRDefault="00DA6706" w:rsidP="00E4668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5. Assessment of Impact:</w:t>
            </w: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</w:rPr>
            </w:pPr>
            <w:r w:rsidRPr="004648DE">
              <w:rPr>
                <w:rFonts w:cs="Arial"/>
                <w:szCs w:val="20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4648DE">
              <w:rPr>
                <w:rFonts w:cs="Arial"/>
              </w:rPr>
              <w:t>consider whether the policy, strategy or spending decisions could have an impact on safeguarding and / or the welfare of children and vulnerable adults</w:t>
            </w: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Default="00902B43" w:rsidP="00113B45">
            <w:pPr>
              <w:rPr>
                <w:rFonts w:cs="Arial"/>
                <w:szCs w:val="20"/>
              </w:rPr>
            </w:pPr>
          </w:p>
          <w:p w:rsidR="00113B45" w:rsidRDefault="00113B45" w:rsidP="00113B45">
            <w:pPr>
              <w:rPr>
                <w:rFonts w:cs="Arial"/>
                <w:szCs w:val="20"/>
              </w:rPr>
            </w:pPr>
          </w:p>
          <w:p w:rsidR="00113B45" w:rsidRPr="00BB6041" w:rsidRDefault="00113B45" w:rsidP="00113B45">
            <w:pPr>
              <w:rPr>
                <w:rFonts w:cs="Arial"/>
              </w:rPr>
            </w:pPr>
          </w:p>
          <w:p w:rsidR="00113B45" w:rsidRPr="00BB6041" w:rsidRDefault="00113B45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 w:rsidRPr="00BB6041">
              <w:rPr>
                <w:rFonts w:cs="Arial"/>
                <w:bCs/>
                <w:lang w:eastAsia="en-GB"/>
              </w:rPr>
              <w:t xml:space="preserve">While it is not believed there will be any adverse impacts, </w:t>
            </w:r>
            <w:r w:rsidR="006929D0" w:rsidRPr="00BB6041">
              <w:rPr>
                <w:rFonts w:cs="Arial"/>
                <w:bCs/>
                <w:lang w:eastAsia="en-GB"/>
              </w:rPr>
              <w:t xml:space="preserve">the </w:t>
            </w:r>
            <w:r w:rsidR="00E46688" w:rsidRPr="00BB6041">
              <w:rPr>
                <w:rFonts w:cs="Arial"/>
                <w:bCs/>
                <w:lang w:eastAsia="en-GB"/>
              </w:rPr>
              <w:t>Leisure and Wellbeing</w:t>
            </w:r>
            <w:r w:rsidRPr="00BB6041">
              <w:rPr>
                <w:rFonts w:cs="Arial"/>
                <w:bCs/>
                <w:lang w:eastAsia="en-GB"/>
              </w:rPr>
              <w:t xml:space="preserve"> Strategy details our approach and the measures we will use to mitigate this.</w:t>
            </w:r>
          </w:p>
          <w:p w:rsidR="00BB6041" w:rsidRPr="00BB6041" w:rsidRDefault="00BB6041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</w:p>
          <w:p w:rsidR="006929D0" w:rsidRPr="00BB6041" w:rsidRDefault="006929D0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 w:rsidRPr="00BB6041">
              <w:rPr>
                <w:rFonts w:cs="Arial"/>
                <w:bCs/>
                <w:lang w:eastAsia="en-GB"/>
              </w:rPr>
              <w:t>Furthermore;</w:t>
            </w:r>
          </w:p>
          <w:p w:rsidR="006929D0" w:rsidRDefault="006929D0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</w:p>
          <w:p w:rsidR="00BB6041" w:rsidRPr="00BB6041" w:rsidRDefault="00BB6041" w:rsidP="00113B4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B6041">
              <w:rPr>
                <w:rFonts w:cs="Arial"/>
                <w:u w:val="single"/>
              </w:rPr>
              <w:t>T</w:t>
            </w:r>
            <w:r w:rsidRPr="00BB6041">
              <w:rPr>
                <w:rFonts w:cs="Arial"/>
                <w:u w:val="single"/>
              </w:rPr>
              <w:t xml:space="preserve">ennis provision at Florence </w:t>
            </w:r>
            <w:r w:rsidRPr="00BB6041">
              <w:rPr>
                <w:rFonts w:cs="Arial"/>
                <w:u w:val="single"/>
              </w:rPr>
              <w:t>Park:</w:t>
            </w:r>
          </w:p>
          <w:p w:rsidR="00BB6041" w:rsidRPr="00BB6041" w:rsidRDefault="00BB6041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</w:p>
          <w:p w:rsidR="006929D0" w:rsidRPr="00BB6041" w:rsidRDefault="006929D0" w:rsidP="006929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6041">
              <w:rPr>
                <w:rFonts w:ascii="Arial" w:hAnsi="Arial" w:cs="Arial"/>
              </w:rPr>
              <w:t>We have a partnership agreement with the L</w:t>
            </w:r>
            <w:r w:rsidR="00BB6041">
              <w:rPr>
                <w:rFonts w:ascii="Arial" w:hAnsi="Arial" w:cs="Arial"/>
              </w:rPr>
              <w:t xml:space="preserve">awn </w:t>
            </w:r>
            <w:r w:rsidRPr="00BB6041">
              <w:rPr>
                <w:rFonts w:ascii="Arial" w:hAnsi="Arial" w:cs="Arial"/>
              </w:rPr>
              <w:t>T</w:t>
            </w:r>
            <w:r w:rsidR="00BB6041">
              <w:rPr>
                <w:rFonts w:ascii="Arial" w:hAnsi="Arial" w:cs="Arial"/>
              </w:rPr>
              <w:t xml:space="preserve">ennis </w:t>
            </w:r>
            <w:r w:rsidRPr="00BB6041">
              <w:rPr>
                <w:rFonts w:ascii="Arial" w:hAnsi="Arial" w:cs="Arial"/>
              </w:rPr>
              <w:t>A</w:t>
            </w:r>
            <w:r w:rsidR="00BB6041">
              <w:rPr>
                <w:rFonts w:ascii="Arial" w:hAnsi="Arial" w:cs="Arial"/>
              </w:rPr>
              <w:t>ssociation (LTA),</w:t>
            </w:r>
            <w:r w:rsidRPr="00BB6041">
              <w:rPr>
                <w:rFonts w:ascii="Arial" w:hAnsi="Arial" w:cs="Arial"/>
              </w:rPr>
              <w:t xml:space="preserve"> which has led to them investing in our tennis coaching programmes. This programme has been very successful and participation in tennis has significantly   increased</w:t>
            </w:r>
            <w:r w:rsidRPr="00BB6041">
              <w:rPr>
                <w:rFonts w:ascii="Arial" w:hAnsi="Arial" w:cs="Arial"/>
              </w:rPr>
              <w:t>.</w:t>
            </w:r>
          </w:p>
          <w:p w:rsidR="00BB6041" w:rsidRPr="00BB6041" w:rsidRDefault="006929D0" w:rsidP="00BB60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6041">
              <w:rPr>
                <w:rFonts w:ascii="Arial" w:hAnsi="Arial" w:cs="Arial"/>
              </w:rPr>
              <w:t>A provisional agreement is in place with the LTA where they will fund £150,000 to improve tennis provision at Florence Park, this funding needs to be match funde</w:t>
            </w:r>
            <w:r w:rsidRPr="00BB6041">
              <w:rPr>
                <w:rFonts w:ascii="Arial" w:hAnsi="Arial" w:cs="Arial"/>
              </w:rPr>
              <w:t>d by the C</w:t>
            </w:r>
            <w:r w:rsidR="00BB6041" w:rsidRPr="00BB6041">
              <w:rPr>
                <w:rFonts w:ascii="Arial" w:hAnsi="Arial" w:cs="Arial"/>
              </w:rPr>
              <w:t>o</w:t>
            </w:r>
            <w:r w:rsidRPr="00BB6041">
              <w:rPr>
                <w:rFonts w:ascii="Arial" w:hAnsi="Arial" w:cs="Arial"/>
              </w:rPr>
              <w:t>uncil</w:t>
            </w:r>
            <w:r w:rsidR="00BB6041" w:rsidRPr="00BB6041">
              <w:rPr>
                <w:rFonts w:ascii="Arial" w:hAnsi="Arial" w:cs="Arial"/>
              </w:rPr>
              <w:t>.</w:t>
            </w:r>
          </w:p>
          <w:p w:rsidR="00BB6041" w:rsidRPr="00BB6041" w:rsidRDefault="00BB6041" w:rsidP="00BB60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6041">
              <w:rPr>
                <w:rFonts w:ascii="Arial" w:hAnsi="Arial" w:cs="Arial"/>
              </w:rPr>
              <w:t>There are no publicly accessible tennis courts in the city that have lighting so this investment will enable tennis to be played at more times throughout the year.</w:t>
            </w:r>
          </w:p>
          <w:p w:rsidR="00BB6041" w:rsidRDefault="00BB6041" w:rsidP="00BB6041">
            <w:pPr>
              <w:autoSpaceDE w:val="0"/>
              <w:autoSpaceDN w:val="0"/>
              <w:adjustRightInd w:val="0"/>
              <w:ind w:left="360"/>
              <w:rPr>
                <w:rFonts w:cs="Arial"/>
                <w:bCs/>
              </w:rPr>
            </w:pPr>
          </w:p>
          <w:p w:rsidR="00BB6041" w:rsidRDefault="00BB6041" w:rsidP="00BB6041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B6041">
              <w:rPr>
                <w:rFonts w:cs="Arial"/>
                <w:u w:val="single"/>
              </w:rPr>
              <w:t>C</w:t>
            </w:r>
            <w:r w:rsidRPr="00BB6041">
              <w:rPr>
                <w:rFonts w:cs="Arial"/>
                <w:u w:val="single"/>
              </w:rPr>
              <w:t>ar park at Court Place Park</w:t>
            </w:r>
            <w:r>
              <w:rPr>
                <w:rFonts w:cs="Arial"/>
                <w:u w:val="single"/>
              </w:rPr>
              <w:t>:</w:t>
            </w:r>
          </w:p>
          <w:p w:rsidR="00BB6041" w:rsidRPr="00BB6041" w:rsidRDefault="00BB6041" w:rsidP="00BB6041">
            <w:pPr>
              <w:autoSpaceDE w:val="0"/>
              <w:autoSpaceDN w:val="0"/>
              <w:adjustRightInd w:val="0"/>
              <w:rPr>
                <w:rFonts w:cs="Arial"/>
                <w:bCs/>
                <w:u w:val="single"/>
              </w:rPr>
            </w:pPr>
          </w:p>
          <w:p w:rsidR="00BB6041" w:rsidRPr="00BB6041" w:rsidRDefault="00BB6041" w:rsidP="006929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6041">
              <w:rPr>
                <w:rFonts w:ascii="Arial" w:hAnsi="Arial" w:cs="Arial"/>
              </w:rPr>
              <w:t>The car park at the entrance to Court Place Farm is in poor condition.</w:t>
            </w:r>
          </w:p>
          <w:p w:rsidR="00BB6041" w:rsidRPr="00BB6041" w:rsidRDefault="00BB6041" w:rsidP="006929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6041">
              <w:rPr>
                <w:rFonts w:ascii="Arial" w:hAnsi="Arial" w:cs="Arial"/>
              </w:rPr>
              <w:t>The Council has £70,000 to improve the surface of its car park at the entrance to Court Place Farm. Haven done ground surveys the car park requires a drainage scheme which requires a further c£90,000</w:t>
            </w:r>
            <w:r w:rsidRPr="00BB6041">
              <w:rPr>
                <w:rFonts w:ascii="Arial" w:hAnsi="Arial" w:cs="Arial"/>
              </w:rPr>
              <w:t>.</w:t>
            </w:r>
          </w:p>
          <w:p w:rsidR="00BB6041" w:rsidRPr="00BB6041" w:rsidRDefault="00BB6041" w:rsidP="006929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6041">
              <w:rPr>
                <w:rFonts w:ascii="Arial" w:hAnsi="Arial" w:cs="Arial"/>
              </w:rPr>
              <w:t xml:space="preserve">The car parks are all currently free and along with usage from users at Court Place Farm they are also used by commuters. We are proposing the introduction of a paid parking scheme across the three </w:t>
            </w:r>
            <w:r w:rsidR="00BE647A">
              <w:rPr>
                <w:rFonts w:ascii="Arial" w:hAnsi="Arial" w:cs="Arial"/>
              </w:rPr>
              <w:t xml:space="preserve">Court Place </w:t>
            </w:r>
            <w:r w:rsidRPr="00BB6041">
              <w:rPr>
                <w:rFonts w:ascii="Arial" w:hAnsi="Arial" w:cs="Arial"/>
              </w:rPr>
              <w:t>car parks with low charges for facility users and commercial charges for commuters. The charging scheme will be developed so facility users pay a discounted fee</w:t>
            </w:r>
          </w:p>
          <w:p w:rsidR="00113B45" w:rsidRPr="004648DE" w:rsidRDefault="00113B45" w:rsidP="00113B4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6. Consideration of Measures</w:t>
            </w:r>
            <w:r w:rsidRPr="004648DE">
              <w:rPr>
                <w:rFonts w:cs="Arial"/>
                <w:szCs w:val="20"/>
              </w:rPr>
              <w:t>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zCs w:val="20"/>
              </w:rPr>
              <w:t>This section should explain in detail all the consideration of alternative approaches/mitigation of adverse impact of the policy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113B45" w:rsidRPr="00773DC7" w:rsidRDefault="009153EB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>As per the answer to question</w:t>
            </w:r>
            <w:r w:rsidR="00113B45">
              <w:rPr>
                <w:rFonts w:cs="Arial"/>
                <w:bCs/>
                <w:lang w:eastAsia="en-GB"/>
              </w:rPr>
              <w:t xml:space="preserve"> five</w:t>
            </w:r>
            <w:r>
              <w:rPr>
                <w:rFonts w:cs="Arial"/>
                <w:bCs/>
                <w:lang w:eastAsia="en-GB"/>
              </w:rPr>
              <w:t>.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napToGrid w:val="0"/>
                <w:color w:val="000000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snapToGrid w:val="0"/>
                <w:color w:val="000000"/>
                <w:szCs w:val="20"/>
              </w:rPr>
            </w:pPr>
            <w:r w:rsidRPr="004648DE">
              <w:rPr>
                <w:rFonts w:cs="Arial"/>
                <w:b/>
                <w:snapToGrid w:val="0"/>
                <w:color w:val="000000"/>
                <w:szCs w:val="20"/>
              </w:rPr>
              <w:t>6a. Monitoring Arrangements:</w:t>
            </w:r>
          </w:p>
          <w:p w:rsidR="00902B43" w:rsidRPr="004648DE" w:rsidRDefault="00902B43" w:rsidP="00AC1516">
            <w:pPr>
              <w:rPr>
                <w:rFonts w:cs="Arial"/>
                <w:snapToGrid w:val="0"/>
                <w:color w:val="000000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napToGrid w:val="0"/>
                <w:color w:val="000000"/>
                <w:szCs w:val="20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4648DE">
              <w:rPr>
                <w:rFonts w:cs="Arial"/>
                <w:szCs w:val="20"/>
              </w:rPr>
              <w:t xml:space="preserve">summary and </w:t>
            </w:r>
            <w:r w:rsidRPr="004648DE">
              <w:rPr>
                <w:rFonts w:cs="Arial"/>
                <w:szCs w:val="20"/>
              </w:rPr>
              <w:lastRenderedPageBreak/>
              <w:t xml:space="preserve">assessment of your monitoring, making clear whether you found any evidence of discrimination. 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Default="00902B43" w:rsidP="00AC1516">
            <w:pPr>
              <w:pStyle w:val="ListParagraph"/>
              <w:rPr>
                <w:rFonts w:ascii="Arial" w:hAnsi="Arial" w:cs="Arial"/>
                <w:szCs w:val="20"/>
                <w:lang w:eastAsia="en-US"/>
              </w:rPr>
            </w:pPr>
          </w:p>
          <w:p w:rsidR="009153EB" w:rsidRPr="00773DC7" w:rsidRDefault="009153EB" w:rsidP="009153EB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>As per the answer to question five.</w:t>
            </w:r>
          </w:p>
          <w:p w:rsidR="00113B45" w:rsidRPr="004648DE" w:rsidRDefault="00113B45" w:rsidP="00C85D8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 xml:space="preserve">7. 12. Date reported and signed off by City Executive Board: 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Default="00902B43" w:rsidP="00AC1516">
            <w:pPr>
              <w:rPr>
                <w:rFonts w:cs="Arial"/>
                <w:szCs w:val="20"/>
              </w:rPr>
            </w:pPr>
          </w:p>
          <w:p w:rsidR="00113B45" w:rsidRPr="004648DE" w:rsidRDefault="00113B45" w:rsidP="00AC1516">
            <w:pPr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8. Conclusions</w:t>
            </w:r>
            <w:r w:rsidRPr="004648DE">
              <w:rPr>
                <w:rFonts w:cs="Arial"/>
                <w:szCs w:val="20"/>
              </w:rPr>
              <w:t>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zCs w:val="20"/>
              </w:rPr>
              <w:t>What are your conclusions drawn from the results in terms of the policy impact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BB6041" w:rsidRDefault="00BB6041" w:rsidP="00BB604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Council’s contribution for the tennis scheme will be c£135,000. This is very good value as it brings in match funding, enhances a council asset new income of £5,000 per annum and added participation due to the availability of an additional 5,000 court hours</w:t>
            </w:r>
          </w:p>
          <w:p w:rsidR="00BB6041" w:rsidRDefault="00BB6041" w:rsidP="00BB604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02B43" w:rsidRPr="004648DE" w:rsidRDefault="00BB6041" w:rsidP="00BE647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</w:rPr>
              <w:t>The total cost of the car park will be c£160,000. This investment also enhances and council asset and creates a new revenue stream</w:t>
            </w:r>
          </w:p>
        </w:tc>
      </w:tr>
      <w:tr w:rsidR="00902B43" w:rsidRPr="004648DE" w:rsidTr="00AC1516">
        <w:trPr>
          <w:cantSplit/>
          <w:trHeight w:val="1000"/>
        </w:trPr>
        <w:tc>
          <w:tcPr>
            <w:tcW w:w="3369" w:type="dxa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 xml:space="preserve">9. Are there implications for the Service Plans? </w:t>
            </w:r>
          </w:p>
        </w:tc>
        <w:tc>
          <w:tcPr>
            <w:tcW w:w="879" w:type="dxa"/>
            <w:gridSpan w:val="2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bCs/>
                <w:szCs w:val="20"/>
              </w:rPr>
            </w:pPr>
            <w:r w:rsidRPr="004648DE">
              <w:rPr>
                <w:rFonts w:cs="Arial"/>
                <w:bCs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bCs/>
                <w:strike/>
                <w:szCs w:val="20"/>
              </w:rPr>
            </w:pPr>
            <w:r w:rsidRPr="004648DE">
              <w:rPr>
                <w:rFonts w:cs="Arial"/>
                <w:bCs/>
                <w:strike/>
                <w:szCs w:val="20"/>
              </w:rPr>
              <w:t>NO</w:t>
            </w:r>
          </w:p>
        </w:tc>
        <w:tc>
          <w:tcPr>
            <w:tcW w:w="3180" w:type="dxa"/>
            <w:gridSpan w:val="2"/>
            <w:vAlign w:val="center"/>
          </w:tcPr>
          <w:p w:rsidR="00902B43" w:rsidRPr="004648DE" w:rsidRDefault="00902B43" w:rsidP="00AC1516">
            <w:pPr>
              <w:rPr>
                <w:b/>
                <w:bCs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10. Date the Service Plans will be updated</w:t>
            </w:r>
          </w:p>
        </w:tc>
        <w:tc>
          <w:tcPr>
            <w:tcW w:w="2799" w:type="dxa"/>
            <w:vAlign w:val="center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2B43" w:rsidRPr="004648DE" w:rsidRDefault="00902B43" w:rsidP="00BE647A">
            <w:pPr>
              <w:rPr>
                <w:rFonts w:cs="Arial"/>
                <w:b/>
                <w:szCs w:val="20"/>
              </w:rPr>
            </w:pPr>
            <w:r w:rsidRPr="004648DE">
              <w:rPr>
                <w:b/>
                <w:bCs/>
                <w:szCs w:val="20"/>
              </w:rPr>
              <w:t>11. Date copy sent to Equalities Officer in HR &amp; Facilities</w:t>
            </w:r>
          </w:p>
        </w:tc>
        <w:tc>
          <w:tcPr>
            <w:tcW w:w="1418" w:type="dxa"/>
            <w:vAlign w:val="center"/>
          </w:tcPr>
          <w:p w:rsidR="00902B43" w:rsidRPr="004648DE" w:rsidRDefault="00E46688" w:rsidP="00AC1516">
            <w:pPr>
              <w:rPr>
                <w:rFonts w:cs="Arial"/>
                <w:szCs w:val="20"/>
              </w:rPr>
            </w:pPr>
            <w:r>
              <w:rPr>
                <w:rFonts w:cs="Arial"/>
                <w:lang w:val="en-US"/>
              </w:rPr>
              <w:t xml:space="preserve">July </w:t>
            </w:r>
            <w:r w:rsidR="00113B45">
              <w:rPr>
                <w:rFonts w:cs="Arial"/>
                <w:lang w:val="en-US"/>
              </w:rPr>
              <w:t>2016</w:t>
            </w:r>
          </w:p>
        </w:tc>
      </w:tr>
      <w:tr w:rsidR="00902B43" w:rsidRPr="004648DE" w:rsidTr="00BE647A">
        <w:trPr>
          <w:cantSplit/>
          <w:trHeight w:val="817"/>
        </w:trPr>
        <w:tc>
          <w:tcPr>
            <w:tcW w:w="3369" w:type="dxa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szCs w:val="20"/>
              </w:rPr>
              <w:t>.</w:t>
            </w:r>
            <w:r w:rsidRPr="004648DE">
              <w:rPr>
                <w:rFonts w:cs="Arial"/>
                <w:b/>
                <w:bCs/>
                <w:szCs w:val="20"/>
              </w:rPr>
              <w:t>13. Date reported to Scrutiny and Executive Board:</w:t>
            </w:r>
          </w:p>
        </w:tc>
        <w:tc>
          <w:tcPr>
            <w:tcW w:w="879" w:type="dxa"/>
            <w:gridSpan w:val="2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14. Date reported to City Executive Board:</w:t>
            </w:r>
          </w:p>
        </w:tc>
        <w:tc>
          <w:tcPr>
            <w:tcW w:w="2799" w:type="dxa"/>
            <w:vAlign w:val="center"/>
          </w:tcPr>
          <w:p w:rsidR="00902B43" w:rsidRPr="004648DE" w:rsidRDefault="00BB6041" w:rsidP="00AC1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September 2016</w:t>
            </w:r>
          </w:p>
        </w:tc>
        <w:tc>
          <w:tcPr>
            <w:tcW w:w="2409" w:type="dxa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:rsidR="00902B43" w:rsidRPr="004648DE" w:rsidRDefault="00BB6041" w:rsidP="001B7E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September 2016</w:t>
            </w:r>
          </w:p>
        </w:tc>
      </w:tr>
    </w:tbl>
    <w:p w:rsidR="00902B43" w:rsidRPr="004648DE" w:rsidRDefault="00902B43" w:rsidP="00902B43">
      <w:pPr>
        <w:rPr>
          <w:rFonts w:cs="Arial"/>
          <w:szCs w:val="20"/>
        </w:rPr>
      </w:pPr>
    </w:p>
    <w:p w:rsidR="00902B43" w:rsidRPr="004648DE" w:rsidRDefault="00902B43" w:rsidP="00902B43">
      <w:pPr>
        <w:rPr>
          <w:rFonts w:cs="Arial"/>
          <w:szCs w:val="20"/>
        </w:rPr>
      </w:pPr>
      <w:r w:rsidRPr="004648DE">
        <w:rPr>
          <w:rFonts w:cs="Arial"/>
          <w:szCs w:val="20"/>
        </w:rPr>
        <w:t>Signed (completing officer)</w:t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  <w:t>Ian Brooke –   Head of Service</w:t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</w:p>
    <w:p w:rsidR="00902B43" w:rsidRPr="004648DE" w:rsidRDefault="00902B43" w:rsidP="00902B43">
      <w:pPr>
        <w:rPr>
          <w:rFonts w:cs="Arial"/>
          <w:szCs w:val="20"/>
        </w:rPr>
      </w:pPr>
      <w:r w:rsidRPr="004648DE">
        <w:rPr>
          <w:rFonts w:cs="Arial"/>
          <w:szCs w:val="20"/>
        </w:rPr>
        <w:t>Signed (Lead Officer)</w:t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  <w:t>Ian Brooke –   Head of Service</w:t>
      </w:r>
    </w:p>
    <w:p w:rsidR="00902B43" w:rsidRPr="004648DE" w:rsidRDefault="00BE647A" w:rsidP="00902B43">
      <w:pPr>
        <w:keepNext/>
        <w:spacing w:before="240" w:after="60"/>
        <w:outlineLvl w:val="0"/>
        <w:rPr>
          <w:b/>
          <w:kern w:val="32"/>
          <w:szCs w:val="20"/>
        </w:rPr>
      </w:pPr>
      <w:r>
        <w:rPr>
          <w:b/>
          <w:kern w:val="32"/>
          <w:szCs w:val="20"/>
        </w:rPr>
        <w:t>P</w:t>
      </w:r>
      <w:r w:rsidR="00902B43" w:rsidRPr="004648DE">
        <w:rPr>
          <w:b/>
          <w:kern w:val="32"/>
          <w:szCs w:val="20"/>
        </w:rPr>
        <w:t>lease list the team members and service areas that were involved in this process:</w:t>
      </w:r>
    </w:p>
    <w:p w:rsidR="00720921" w:rsidRDefault="00720921" w:rsidP="008A22C6">
      <w:r>
        <w:t>Active Communities Manager</w:t>
      </w:r>
    </w:p>
    <w:p w:rsidR="008A22C6" w:rsidRPr="008A22C6" w:rsidRDefault="00720921" w:rsidP="008A22C6">
      <w:r>
        <w:t>Leisure and Performance Manager</w:t>
      </w:r>
    </w:p>
    <w:sectPr w:rsidR="008A22C6" w:rsidRPr="008A22C6" w:rsidSect="0071028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&#10;i">
    <w:altName w:val="Symbol"/>
    <w:charset w:val="02"/>
    <w:family w:val="auto"/>
    <w:pitch w:val="variable"/>
    <w:sig w:usb0="00000000" w:usb1="10000000" w:usb2="00000000" w:usb3="00000000" w:csb0="80000000" w:csb1="00000000"/>
  </w:font>
  <w:font w:name="TTB34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329"/>
    <w:multiLevelType w:val="hybridMultilevel"/>
    <w:tmpl w:val="73C24498"/>
    <w:lvl w:ilvl="0" w:tplc="750258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4C7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92061"/>
    <w:multiLevelType w:val="hybridMultilevel"/>
    <w:tmpl w:val="B18A6974"/>
    <w:lvl w:ilvl="0" w:tplc="29DC6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B09"/>
    <w:multiLevelType w:val="hybridMultilevel"/>
    <w:tmpl w:val="1FA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7BFB"/>
    <w:multiLevelType w:val="hybridMultilevel"/>
    <w:tmpl w:val="9E20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479E"/>
    <w:multiLevelType w:val="hybridMultilevel"/>
    <w:tmpl w:val="841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1A87"/>
    <w:multiLevelType w:val="hybridMultilevel"/>
    <w:tmpl w:val="E754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43"/>
    <w:rsid w:val="00084B39"/>
    <w:rsid w:val="000B4310"/>
    <w:rsid w:val="00101651"/>
    <w:rsid w:val="00113B45"/>
    <w:rsid w:val="001B7E71"/>
    <w:rsid w:val="004000D7"/>
    <w:rsid w:val="00504E43"/>
    <w:rsid w:val="00617616"/>
    <w:rsid w:val="006929D0"/>
    <w:rsid w:val="00720921"/>
    <w:rsid w:val="007908F4"/>
    <w:rsid w:val="008A22C6"/>
    <w:rsid w:val="00902B43"/>
    <w:rsid w:val="009153EB"/>
    <w:rsid w:val="00BB6041"/>
    <w:rsid w:val="00BE647A"/>
    <w:rsid w:val="00C07F80"/>
    <w:rsid w:val="00C15881"/>
    <w:rsid w:val="00C85D8E"/>
    <w:rsid w:val="00CE2D85"/>
    <w:rsid w:val="00D96E10"/>
    <w:rsid w:val="00DA6706"/>
    <w:rsid w:val="00E46688"/>
    <w:rsid w:val="00EF720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902B43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902B43"/>
    <w:pPr>
      <w:ind w:left="720"/>
      <w:contextualSpacing/>
    </w:pPr>
    <w:rPr>
      <w:rFonts w:ascii="Times New Roman" w:hAnsi="Times New Roman"/>
      <w:lang w:eastAsia="en-GB"/>
    </w:rPr>
  </w:style>
  <w:style w:type="paragraph" w:customStyle="1" w:styleId="CharChar1CharCharCharCharCharCharChar0">
    <w:name w:val=" Char Char1 Char Char Char Char Char Char Char"/>
    <w:basedOn w:val="Normal"/>
    <w:rsid w:val="00E46688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902B43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902B43"/>
    <w:pPr>
      <w:ind w:left="720"/>
      <w:contextualSpacing/>
    </w:pPr>
    <w:rPr>
      <w:rFonts w:ascii="Times New Roman" w:hAnsi="Times New Roman"/>
      <w:lang w:eastAsia="en-GB"/>
    </w:rPr>
  </w:style>
  <w:style w:type="paragraph" w:customStyle="1" w:styleId="CharChar1CharCharCharCharCharCharChar0">
    <w:name w:val=" Char Char1 Char Char Char Char Char Char Char"/>
    <w:basedOn w:val="Normal"/>
    <w:rsid w:val="00E46688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4ECC-3AE5-406B-9110-E8059BA8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2F424C21</Template>
  <TotalTime>13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lucy.cherry</cp:lastModifiedBy>
  <cp:revision>4</cp:revision>
  <dcterms:created xsi:type="dcterms:W3CDTF">2016-07-29T15:20:00Z</dcterms:created>
  <dcterms:modified xsi:type="dcterms:W3CDTF">2016-07-29T15:37:00Z</dcterms:modified>
</cp:coreProperties>
</file>